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D84" w:rsidP="00F94D8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94D84" w:rsidP="00F94D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94D84" w:rsidP="00F94D84">
      <w:pPr>
        <w:ind w:firstLine="709"/>
        <w:jc w:val="center"/>
        <w:rPr>
          <w:sz w:val="28"/>
          <w:szCs w:val="28"/>
        </w:rPr>
      </w:pPr>
    </w:p>
    <w:p w:rsidR="00F94D84" w:rsidP="00F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 12 февраля 2024 года  </w:t>
      </w:r>
    </w:p>
    <w:p w:rsidR="00F94D84" w:rsidP="00F94D84">
      <w:pPr>
        <w:ind w:firstLine="709"/>
        <w:jc w:val="both"/>
        <w:rPr>
          <w:sz w:val="28"/>
          <w:szCs w:val="28"/>
        </w:rPr>
      </w:pPr>
    </w:p>
    <w:p w:rsidR="00F94D84" w:rsidP="00F94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</w:t>
      </w:r>
      <w:r>
        <w:rPr>
          <w:sz w:val="28"/>
          <w:szCs w:val="28"/>
        </w:rPr>
        <w:t>района  Ханты</w:t>
      </w:r>
      <w:r>
        <w:rPr>
          <w:sz w:val="28"/>
          <w:szCs w:val="28"/>
        </w:rPr>
        <w:t xml:space="preserve">-Мансийского автономного округа – Югры Новокшенова О.А., </w:t>
      </w:r>
    </w:p>
    <w:p w:rsidR="00F94D84" w:rsidP="00B8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в помещении судебного участка №2 Ханты-Мансийского судебного района дело об административном правонарушении №5-133-2802/2024, возбужденное по ч.4 ст.15.15.6 КоАП РФ в отношении должностного лица –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Сабаровой</w:t>
      </w:r>
      <w:r>
        <w:rPr>
          <w:sz w:val="28"/>
          <w:szCs w:val="28"/>
        </w:rPr>
        <w:t xml:space="preserve">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УСТАНОВИЛ:</w:t>
      </w:r>
    </w:p>
    <w:p w:rsidR="00F94D84" w:rsidP="00F94D84">
      <w:pPr>
        <w:ind w:firstLine="709"/>
        <w:jc w:val="center"/>
        <w:rPr>
          <w:sz w:val="28"/>
          <w:szCs w:val="28"/>
        </w:rPr>
      </w:pPr>
    </w:p>
    <w:p w:rsidR="00D53A7F" w:rsidRPr="001C78B3" w:rsidP="00D53A7F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Сабарова</w:t>
      </w:r>
      <w:r>
        <w:rPr>
          <w:sz w:val="28"/>
          <w:szCs w:val="28"/>
        </w:rPr>
        <w:t xml:space="preserve"> И.Э.,  являясь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и осуществляя свои  обязанности  по адресу: </w:t>
      </w:r>
      <w:r w:rsidR="00B84ED6">
        <w:rPr>
          <w:b/>
          <w:sz w:val="28"/>
          <w:szCs w:val="28"/>
        </w:rPr>
        <w:t>***</w:t>
      </w:r>
      <w:r>
        <w:rPr>
          <w:sz w:val="28"/>
          <w:szCs w:val="28"/>
        </w:rPr>
        <w:t>, 19.01.2023 совершила правонарушение, предусмотренное ч.4 ст.15.15.6 КоАП РФ, выразившееся в</w:t>
      </w:r>
      <w:r>
        <w:rPr>
          <w:sz w:val="28"/>
          <w:szCs w:val="28"/>
          <w:lang w:eastAsia="en-US"/>
        </w:rPr>
        <w:t xml:space="preserve"> нарушении требований, установленных статьи </w:t>
      </w:r>
      <w:r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Федерального закона № 402-ФЗ, </w:t>
      </w:r>
      <w:r w:rsidRPr="001C78B3">
        <w:rPr>
          <w:sz w:val="28"/>
          <w:szCs w:val="28"/>
        </w:rPr>
        <w:t xml:space="preserve">пунктов 56, 58, 67, 151.1, 151.2, 151.3 Инструкции № 157н, </w:t>
      </w:r>
      <w:r>
        <w:rPr>
          <w:sz w:val="28"/>
          <w:szCs w:val="28"/>
        </w:rPr>
        <w:t xml:space="preserve">а именно, </w:t>
      </w:r>
      <w:r w:rsidRPr="001C78B3">
        <w:rPr>
          <w:sz w:val="28"/>
          <w:szCs w:val="28"/>
        </w:rPr>
        <w:t xml:space="preserve">по состоянию на 01.01.2023 учет 19 объектов фактически являющихся нематериальными активами на общую сумму 23 122,9 тыс. рублей, закрепленных </w:t>
      </w:r>
      <w:r w:rsidRPr="001C78B3">
        <w:rPr>
          <w:sz w:val="28"/>
          <w:szCs w:val="28"/>
        </w:rPr>
        <w:t>Депимущества</w:t>
      </w:r>
      <w:r w:rsidRPr="001C78B3">
        <w:rPr>
          <w:sz w:val="28"/>
          <w:szCs w:val="28"/>
        </w:rPr>
        <w:t xml:space="preserve"> Югры за Учреждением, производился на счете 101.28 "Основные средства - особо ценное движимое имущество учреждения, прочие основные средства" неверно, и повлек искажение информации по счетам на которых следовало учитывать данные объекты, что привело к грубому нарушению требований к бюджетному (бухгалтерскому) учету, повлекшее искажение информации об активах, более чем на 10 процентов, а именно:</w:t>
      </w:r>
    </w:p>
    <w:p w:rsidR="00D53A7F" w:rsidRPr="001C78B3" w:rsidP="00D53A7F">
      <w:pPr>
        <w:pStyle w:val="6"/>
        <w:shd w:val="clear" w:color="auto" w:fill="auto"/>
        <w:spacing w:line="240" w:lineRule="auto"/>
        <w:ind w:left="20" w:right="20" w:firstLine="420"/>
        <w:rPr>
          <w:sz w:val="28"/>
          <w:szCs w:val="28"/>
        </w:rPr>
      </w:pPr>
      <w:r w:rsidRPr="001C78B3">
        <w:rPr>
          <w:sz w:val="28"/>
          <w:szCs w:val="28"/>
        </w:rPr>
        <w:t>- на счете 101.28 "Основные средства - особо ценное движимое имущество учреждения, прочие основные средства" по состоянию на 01.01.2023 учтены 19 объектов или на 95,6 % (23 122,9 * 100 / 24 194,8) - в денежном выражении на сумму 23 122,9 тыс. рублей от общей суммы средств 24 194,8 тыс. рублей, учитываемых на данном счете;</w:t>
      </w:r>
    </w:p>
    <w:p w:rsidR="00D53A7F" w:rsidRPr="001C78B3" w:rsidP="00D53A7F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C78B3">
        <w:rPr>
          <w:sz w:val="28"/>
          <w:szCs w:val="28"/>
        </w:rPr>
        <w:t>- на счете 111.61 "Права пользования нематериальными активами - программным обеспечением и базами данных" по состоянию на 01.01.2023 не учтены 8 объектов (из 19) Учреждения на сумму 3 398,2 тыс. рублей или на 13,8 % (3 398,2 *</w:t>
      </w:r>
    </w:p>
    <w:p w:rsidR="00D53A7F" w:rsidRPr="001C78B3" w:rsidP="00D53A7F">
      <w:pPr>
        <w:pStyle w:val="6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1C78B3">
        <w:rPr>
          <w:sz w:val="28"/>
          <w:szCs w:val="28"/>
        </w:rPr>
        <w:t>100/24 572,7) - в денежном выражении от общей суммы средств 24 572,7 тыс. рублей, учитываемых на данном счете.</w:t>
      </w:r>
    </w:p>
    <w:p w:rsidR="00D53A7F" w:rsidRPr="001C78B3" w:rsidP="00D53A7F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C78B3">
        <w:rPr>
          <w:sz w:val="28"/>
          <w:szCs w:val="28"/>
        </w:rPr>
        <w:t>- на счете 102.21 "Нематериальные активы - особо ценное движимое имущество учрежде</w:t>
      </w:r>
      <w:r>
        <w:rPr>
          <w:sz w:val="28"/>
          <w:szCs w:val="28"/>
        </w:rPr>
        <w:t>ния, Программное обеспечение и б</w:t>
      </w:r>
      <w:r w:rsidRPr="001C78B3">
        <w:rPr>
          <w:sz w:val="28"/>
          <w:szCs w:val="28"/>
        </w:rPr>
        <w:t xml:space="preserve">азы данных" по состоянию на </w:t>
      </w:r>
      <w:r w:rsidRPr="001C78B3">
        <w:rPr>
          <w:rStyle w:val="10pt0pt"/>
          <w:sz w:val="28"/>
          <w:szCs w:val="28"/>
        </w:rPr>
        <w:t>U</w:t>
      </w:r>
      <w:r w:rsidRPr="001C78B3">
        <w:rPr>
          <w:rStyle w:val="10pt0pt"/>
          <w:sz w:val="28"/>
          <w:szCs w:val="28"/>
          <w:lang w:val="ru-RU"/>
        </w:rPr>
        <w:t>1.</w:t>
      </w:r>
      <w:r w:rsidRPr="001C78B3">
        <w:rPr>
          <w:rStyle w:val="10pt0pt"/>
          <w:sz w:val="28"/>
          <w:szCs w:val="28"/>
        </w:rPr>
        <w:t>U</w:t>
      </w:r>
      <w:r w:rsidRPr="001C78B3">
        <w:rPr>
          <w:rStyle w:val="10pt0pt"/>
          <w:sz w:val="28"/>
          <w:szCs w:val="28"/>
          <w:lang w:val="ru-RU"/>
        </w:rPr>
        <w:t>1.2</w:t>
      </w:r>
      <w:r w:rsidRPr="001C78B3">
        <w:rPr>
          <w:rStyle w:val="10pt0pt"/>
          <w:sz w:val="28"/>
          <w:szCs w:val="28"/>
        </w:rPr>
        <w:t>U</w:t>
      </w:r>
      <w:r w:rsidRPr="001C78B3">
        <w:rPr>
          <w:rStyle w:val="10pt0pt"/>
          <w:sz w:val="28"/>
          <w:szCs w:val="28"/>
          <w:lang w:val="ru-RU"/>
        </w:rPr>
        <w:t xml:space="preserve">23 </w:t>
      </w:r>
      <w:r w:rsidRPr="001C78B3">
        <w:rPr>
          <w:sz w:val="28"/>
          <w:szCs w:val="28"/>
        </w:rPr>
        <w:t>не учтены 11 объектов (из 19) Учреждения на сумму 19 724,7 тыс. рублей или на 39,7 % (19 724,7 * 100 / 49 641,3) - в денежном выражении от общей суммы средств 49 641,3 тыс. рублей, учитываемых на данном счете на 01.01.2023.</w:t>
      </w:r>
    </w:p>
    <w:p w:rsidR="00D20A12" w:rsidRPr="00D20A12" w:rsidP="00D20A12">
      <w:pPr>
        <w:ind w:firstLine="720"/>
        <w:jc w:val="both"/>
        <w:rPr>
          <w:rFonts w:eastAsia="Calibri"/>
          <w:sz w:val="28"/>
          <w:szCs w:val="28"/>
        </w:rPr>
      </w:pPr>
      <w:r w:rsidRPr="00D20A12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Сабарова</w:t>
      </w:r>
      <w:r>
        <w:rPr>
          <w:sz w:val="28"/>
          <w:szCs w:val="28"/>
        </w:rPr>
        <w:t xml:space="preserve"> И.Э.</w:t>
      </w:r>
      <w:r w:rsidRPr="00D20A12">
        <w:rPr>
          <w:sz w:val="28"/>
          <w:szCs w:val="28"/>
        </w:rPr>
        <w:t xml:space="preserve"> не явилась, о месте и времени рассмотрения дела извещена надлежащим образом. Ходатайство об </w:t>
      </w:r>
      <w:r w:rsidRPr="00D20A12">
        <w:rPr>
          <w:sz w:val="28"/>
          <w:szCs w:val="28"/>
        </w:rPr>
        <w:t xml:space="preserve">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D20A12">
        <w:rPr>
          <w:sz w:val="28"/>
          <w:szCs w:val="28"/>
        </w:rPr>
        <w:t>заседании,  не</w:t>
      </w:r>
      <w:r w:rsidRPr="00D20A12">
        <w:rPr>
          <w:sz w:val="28"/>
          <w:szCs w:val="28"/>
        </w:rPr>
        <w:t xml:space="preserve"> воспользовалась.</w:t>
      </w:r>
    </w:p>
    <w:p w:rsidR="00D20A12" w:rsidRPr="00D20A12" w:rsidP="00D20A12">
      <w:pPr>
        <w:ind w:firstLine="720"/>
        <w:jc w:val="both"/>
        <w:rPr>
          <w:sz w:val="28"/>
          <w:szCs w:val="28"/>
        </w:rPr>
      </w:pPr>
      <w:r w:rsidRPr="00D20A12"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D20A12">
        <w:rPr>
          <w:sz w:val="28"/>
          <w:szCs w:val="28"/>
        </w:rPr>
        <w:t>лица  о</w:t>
      </w:r>
      <w:r w:rsidRPr="00D20A12"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D20A12" w:rsidRPr="00D20A12" w:rsidP="00D20A12">
      <w:pPr>
        <w:ind w:firstLine="720"/>
        <w:jc w:val="both"/>
        <w:rPr>
          <w:sz w:val="28"/>
          <w:szCs w:val="28"/>
        </w:rPr>
      </w:pPr>
      <w:r w:rsidRPr="00D20A12"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ответственности по ч.4 ст.15.15.6 КоАП РФ подлежит лицо за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деяния.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примечания к </w:t>
      </w:r>
      <w:hyperlink r:id="rId4" w:anchor="/document/12125267/entry/1515604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</w:t>
        </w:r>
        <w:r>
          <w:rPr>
            <w:rStyle w:val="Hyperlink"/>
            <w:i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4</w:t>
        </w:r>
        <w:r>
          <w:rPr>
            <w:rStyle w:val="Hyperlink"/>
            <w:i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</w:t>
        </w:r>
        <w:r>
          <w:rPr>
            <w:rStyle w:val="Hyperlink"/>
            <w:i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15</w:t>
        </w:r>
        <w:r>
          <w:rPr>
            <w:rStyle w:val="Hyperlink"/>
            <w:i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15</w:t>
        </w:r>
        <w:r>
          <w:rPr>
            <w:rStyle w:val="Hyperlink"/>
            <w:i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КоАП</w:t>
      </w:r>
      <w:r>
        <w:rPr>
          <w:sz w:val="28"/>
          <w:szCs w:val="28"/>
        </w:rPr>
        <w:t xml:space="preserve"> РФ, под грубым нарушением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грубым нарушением порядка составления (формирования) консолидированной бухгалтерской (финансовой) отчетности понимается: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искажение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результате: более чем на 10 процентов; не менее чем на 1 процент, но не более чем на 10 процентов и на сумму, превышающую один миллион рублей;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искажение показателя бюджетной отчетности, выраженного в денежном измерении, которое привело к искажению показателя результата исполнения бюджета;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занижение сумм налогов и сборов, страховых взносов на сумму, превышающую один миллион рублей, вследствие нарушения требований к бюджетному (бухгалтерскому) учету и (или) искажения показателей бюджетной или бухгалтерской (финансовой) отчетности;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включение в бюджетную или бухгалтерскую (финансовую) отчетность показателей, характеризующих объекты бухгалтерского учета и не подтвержденных соответствующими регистрами бухгалтерского учета и (или) первичными учетными документами;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регистрация в регистрах бухгалтерского учета мнимого объекта бухгалтерского учета (в том числе неосуществленных расходов, </w:t>
      </w:r>
      <w:r>
        <w:rPr>
          <w:sz w:val="28"/>
          <w:szCs w:val="28"/>
        </w:rPr>
        <w:t>несуществующих обязательств, не имевших места фактов хозяйственной жизни) или притворного объекта бухгалтерского учета;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ведение счетов бюджетного (бухгалтерского) учета вне применяемых регистров бухгалтерского учета;</w:t>
      </w:r>
    </w:p>
    <w:p w:rsidR="00F94D84" w:rsidP="00F94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отсутствие первичных учетных документов, и (или) регистров бухгалтерского учета, и (или) бюджетной или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</w:r>
    </w:p>
    <w:p w:rsidR="00F94D84" w:rsidP="00F94D84">
      <w:pPr>
        <w:shd w:val="clear" w:color="auto" w:fill="FFFFFF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5" w:anchor="/document/70103036/entry/1301" w:history="1">
        <w:r>
          <w:rPr>
            <w:rStyle w:val="Hyperlink"/>
            <w:sz w:val="28"/>
            <w:szCs w:val="28"/>
          </w:rPr>
          <w:t>п. 1 ст. 13</w:t>
        </w:r>
      </w:hyperlink>
      <w:r>
        <w:rPr>
          <w:sz w:val="28"/>
          <w:szCs w:val="28"/>
        </w:rPr>
        <w:t xml:space="preserve"> Федерального закона от 06.12.2011 N 402-ФЗ «О бухгалтерском учете»,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5" w:anchor="/document/12112604/entry/2641" w:history="1">
        <w:r>
          <w:rPr>
            <w:rStyle w:val="Hyperlink"/>
            <w:sz w:val="28"/>
            <w:szCs w:val="28"/>
          </w:rPr>
          <w:t>ст.264.1</w:t>
        </w:r>
      </w:hyperlink>
      <w:r>
        <w:rPr>
          <w:sz w:val="28"/>
          <w:szCs w:val="28"/>
        </w:rPr>
        <w:t xml:space="preserve">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Российской Федерации, субъектов Российской Федерации и муниципальных образований, а также об операциях, изменяющих указанные активы и обязательства</w:t>
      </w:r>
      <w:r w:rsidR="00D53A7F">
        <w:rPr>
          <w:sz w:val="28"/>
          <w:szCs w:val="28"/>
        </w:rPr>
        <w:t>.</w:t>
      </w:r>
    </w:p>
    <w:p w:rsidR="001C78B3" w:rsidP="001C78B3">
      <w:pPr>
        <w:pStyle w:val="6"/>
        <w:shd w:val="clear" w:color="auto" w:fill="auto"/>
        <w:spacing w:line="240" w:lineRule="auto"/>
        <w:ind w:left="40" w:firstLine="540"/>
        <w:rPr>
          <w:sz w:val="28"/>
          <w:szCs w:val="28"/>
        </w:rPr>
      </w:pPr>
      <w:r w:rsidRPr="001C78B3">
        <w:rPr>
          <w:sz w:val="28"/>
          <w:szCs w:val="28"/>
        </w:rPr>
        <w:t xml:space="preserve">Согласно данным </w:t>
      </w:r>
      <w:r w:rsidRPr="001C78B3">
        <w:rPr>
          <w:sz w:val="28"/>
          <w:szCs w:val="28"/>
        </w:rPr>
        <w:t>оборотно</w:t>
      </w:r>
      <w:r w:rsidRPr="001C78B3">
        <w:rPr>
          <w:sz w:val="28"/>
          <w:szCs w:val="28"/>
        </w:rPr>
        <w:t>-сальдовой ведомости Учреждения по счету</w:t>
      </w:r>
      <w:r>
        <w:rPr>
          <w:sz w:val="28"/>
          <w:szCs w:val="28"/>
        </w:rPr>
        <w:t xml:space="preserve"> 101.28 </w:t>
      </w:r>
      <w:r w:rsidRPr="001C78B3">
        <w:rPr>
          <w:sz w:val="28"/>
          <w:szCs w:val="28"/>
        </w:rPr>
        <w:t xml:space="preserve">"Основные средства </w:t>
      </w:r>
      <w:r>
        <w:rPr>
          <w:rStyle w:val="21"/>
          <w:sz w:val="28"/>
          <w:szCs w:val="28"/>
          <w:u w:val="none"/>
        </w:rPr>
        <w:t xml:space="preserve">- </w:t>
      </w:r>
      <w:r w:rsidRPr="001C78B3">
        <w:rPr>
          <w:sz w:val="28"/>
          <w:szCs w:val="28"/>
        </w:rPr>
        <w:t>особо ценное движим</w:t>
      </w:r>
      <w:r>
        <w:rPr>
          <w:sz w:val="28"/>
          <w:szCs w:val="28"/>
        </w:rPr>
        <w:t xml:space="preserve">ое имущество учреждения, прочие </w:t>
      </w:r>
      <w:r w:rsidRPr="001C78B3">
        <w:rPr>
          <w:sz w:val="28"/>
          <w:szCs w:val="28"/>
        </w:rPr>
        <w:t>основные средства" по состоянию на 01.01.202</w:t>
      </w:r>
      <w:r>
        <w:rPr>
          <w:sz w:val="28"/>
          <w:szCs w:val="28"/>
        </w:rPr>
        <w:t xml:space="preserve">3 Учреждением производился учет </w:t>
      </w:r>
      <w:r w:rsidRPr="001C78B3">
        <w:rPr>
          <w:sz w:val="28"/>
          <w:szCs w:val="28"/>
        </w:rPr>
        <w:t>19 объектов основных средств на сумму 23 122,9 тыс. рублей или 95,6% (от общей</w:t>
      </w:r>
      <w:r w:rsidRPr="001C78B3">
        <w:rPr>
          <w:sz w:val="28"/>
          <w:szCs w:val="28"/>
        </w:rPr>
        <w:br/>
        <w:t>суммы средств 24 194,8 тыс. рублей, учитываемых на данном счете).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140" w:firstLine="560"/>
        <w:rPr>
          <w:sz w:val="28"/>
          <w:szCs w:val="28"/>
        </w:rPr>
      </w:pPr>
      <w:r w:rsidRPr="001C78B3">
        <w:rPr>
          <w:sz w:val="28"/>
          <w:szCs w:val="28"/>
        </w:rPr>
        <w:t>19 объектов являются автоматизированными системами, программным обеспечением (далее - ПО), лицензиями, используемыми Учреждением в своей деятельности, из них:</w:t>
      </w:r>
    </w:p>
    <w:p w:rsidR="001C78B3" w:rsidRPr="001C78B3" w:rsidP="001C78B3">
      <w:pPr>
        <w:pStyle w:val="6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left="20" w:right="140" w:firstLine="700"/>
        <w:rPr>
          <w:sz w:val="28"/>
          <w:szCs w:val="28"/>
        </w:rPr>
      </w:pPr>
      <w:r w:rsidRPr="001C78B3">
        <w:rPr>
          <w:sz w:val="28"/>
          <w:szCs w:val="28"/>
        </w:rPr>
        <w:t>8 объектов подлежат учету на счете 111.61 "Права пользования нематериальными активами - программным обеспечением и базами данных" в соответствии с положениями пунктов 151.1, 151.2, 151.3 Инструкции № 157н;</w:t>
      </w:r>
    </w:p>
    <w:p w:rsidR="001C78B3" w:rsidRPr="001C78B3" w:rsidP="001C78B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20" w:right="140" w:firstLine="700"/>
        <w:rPr>
          <w:sz w:val="28"/>
          <w:szCs w:val="28"/>
        </w:rPr>
      </w:pPr>
      <w:r w:rsidRPr="001C78B3">
        <w:rPr>
          <w:sz w:val="28"/>
          <w:szCs w:val="28"/>
        </w:rPr>
        <w:t xml:space="preserve"> 11 объектов подлежат учету на счете 102.21 "Нематериальные активы - особо ценное движимое имущество учреждения, Программное обеспечение и базы данных" в соответствии с положениями пунктов 56, 58, 67 Инструкции № 157н.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C78B3">
        <w:rPr>
          <w:sz w:val="28"/>
          <w:szCs w:val="28"/>
        </w:rPr>
        <w:t>В соответствии с пунктами 2, 7, 10 Стандарта</w:t>
      </w:r>
      <w:r w:rsidRPr="001C78B3">
        <w:rPr>
          <w:sz w:val="28"/>
          <w:szCs w:val="28"/>
          <w:vertAlign w:val="superscript"/>
        </w:rPr>
        <w:t>10</w:t>
      </w:r>
      <w:r w:rsidRPr="001C78B3">
        <w:rPr>
          <w:sz w:val="28"/>
          <w:szCs w:val="28"/>
        </w:rPr>
        <w:t xml:space="preserve">: установлены единые требования к бухгалтерскому учету </w:t>
      </w:r>
      <w:r w:rsidRPr="001C78B3">
        <w:rPr>
          <w:rStyle w:val="0pt"/>
          <w:b w:val="0"/>
          <w:sz w:val="28"/>
          <w:szCs w:val="28"/>
        </w:rPr>
        <w:t>активов,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классифицируемых как </w:t>
      </w:r>
      <w:r w:rsidRPr="001C78B3">
        <w:rPr>
          <w:rStyle w:val="0pt"/>
          <w:b w:val="0"/>
          <w:sz w:val="28"/>
          <w:szCs w:val="28"/>
        </w:rPr>
        <w:t>основные средства,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а также требования к информации об основных </w:t>
      </w:r>
      <w:r w:rsidRPr="001C78B3">
        <w:rPr>
          <w:sz w:val="28"/>
          <w:szCs w:val="28"/>
        </w:rPr>
        <w:t xml:space="preserve">средствах (результатах операций с ними), раскрываемой в бухгалтерской </w:t>
      </w:r>
      <w:r w:rsidRPr="001C78B3">
        <w:rPr>
          <w:rStyle w:val="4"/>
          <w:sz w:val="28"/>
          <w:szCs w:val="28"/>
        </w:rPr>
        <w:t xml:space="preserve">(финансовой) отчетности </w:t>
      </w:r>
      <w:r w:rsidRPr="001C78B3">
        <w:rPr>
          <w:sz w:val="28"/>
          <w:szCs w:val="28"/>
        </w:rPr>
        <w:t xml:space="preserve">(2), основные средства - являющиеся активами </w:t>
      </w:r>
      <w:r w:rsidRPr="001C78B3">
        <w:rPr>
          <w:rStyle w:val="0pt"/>
          <w:b w:val="0"/>
          <w:sz w:val="28"/>
          <w:szCs w:val="28"/>
        </w:rPr>
        <w:t>материальные ценности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независимо от их стоимости со сроком полезного использования более 12 месяцев (7); объектом основных средств признается </w:t>
      </w:r>
      <w:r w:rsidRPr="001C78B3">
        <w:rPr>
          <w:rStyle w:val="0pt"/>
          <w:b w:val="0"/>
          <w:sz w:val="28"/>
          <w:szCs w:val="28"/>
        </w:rPr>
        <w:t>объект имущества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со всеми приспособлениями и принадлежностями или </w:t>
      </w:r>
      <w:r w:rsidRPr="001C78B3">
        <w:rPr>
          <w:rStyle w:val="0pt"/>
          <w:b w:val="0"/>
          <w:sz w:val="28"/>
          <w:szCs w:val="28"/>
        </w:rPr>
        <w:t>отдельный конструктивно обособленный предмет,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предназначенный для выполнения определенных самостоятельных функций, или же </w:t>
      </w:r>
      <w:r w:rsidRPr="001C78B3">
        <w:rPr>
          <w:rStyle w:val="0pt"/>
          <w:b w:val="0"/>
          <w:sz w:val="28"/>
          <w:szCs w:val="28"/>
        </w:rPr>
        <w:t>обособленный комплекс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 xml:space="preserve">конструктивно-сочлененных </w:t>
      </w:r>
      <w:r w:rsidRPr="001C78B3">
        <w:rPr>
          <w:rStyle w:val="0pt"/>
          <w:b w:val="0"/>
          <w:sz w:val="28"/>
          <w:szCs w:val="28"/>
        </w:rPr>
        <w:t>предметов,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>представляющих собой единое целое и предназначенных для выполнения определенной работы (10).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C78B3">
        <w:rPr>
          <w:sz w:val="28"/>
          <w:szCs w:val="28"/>
        </w:rPr>
        <w:t xml:space="preserve">Указанные 19 объектов, учитывая пункты 2, 7, 10 Стандарта, </w:t>
      </w:r>
      <w:r w:rsidRPr="001C78B3">
        <w:rPr>
          <w:rStyle w:val="0pt"/>
          <w:b w:val="0"/>
          <w:sz w:val="28"/>
          <w:szCs w:val="28"/>
        </w:rPr>
        <w:t>не относятся к объектам основных средств, так как не</w:t>
      </w:r>
      <w:r w:rsidRPr="001C78B3">
        <w:rPr>
          <w:rStyle w:val="0pt"/>
          <w:sz w:val="28"/>
          <w:szCs w:val="28"/>
        </w:rPr>
        <w:t xml:space="preserve"> </w:t>
      </w:r>
      <w:r w:rsidRPr="001C78B3">
        <w:rPr>
          <w:sz w:val="28"/>
          <w:szCs w:val="28"/>
        </w:rPr>
        <w:t>являются материальными ценностями, объектами имущества, предметами либо комплексами предметов.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C78B3">
        <w:rPr>
          <w:sz w:val="28"/>
          <w:szCs w:val="28"/>
        </w:rPr>
        <w:t>Таким образом, учет 19 объектов производился Учреждением с нарушением положений Инструкции № 157н на несоответствующем счете бухгалтерского учета</w:t>
      </w:r>
      <w:r>
        <w:rPr>
          <w:sz w:val="28"/>
          <w:szCs w:val="28"/>
        </w:rPr>
        <w:t xml:space="preserve"> 101.28 </w:t>
      </w:r>
      <w:r w:rsidRPr="001C78B3">
        <w:rPr>
          <w:sz w:val="28"/>
          <w:szCs w:val="28"/>
        </w:rPr>
        <w:t xml:space="preserve">"Основные средства - особо ценное движимое имущество учреждения, прочие основные средства", и неприменении для учета счетов: 111.61 "Права пользования нематериальными активами - программным обеспечением и базами данных"; 102.21 "Нематериальные активы </w:t>
      </w:r>
      <w:r>
        <w:rPr>
          <w:rStyle w:val="21"/>
          <w:sz w:val="28"/>
          <w:szCs w:val="28"/>
          <w:u w:val="none"/>
        </w:rPr>
        <w:t xml:space="preserve">- </w:t>
      </w:r>
      <w:r w:rsidRPr="001C78B3">
        <w:rPr>
          <w:sz w:val="28"/>
          <w:szCs w:val="28"/>
        </w:rPr>
        <w:t>особо ценное движимое имущество учреждения, Программное обеспечение и базы данных".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C78B3">
        <w:rPr>
          <w:sz w:val="28"/>
          <w:szCs w:val="28"/>
        </w:rPr>
        <w:t>В силу части 8 статьи 13 Федерального закона № 402-ФЗ бухгалтерская (финансовая) отчетность считается составленной после подписания ее экземпляра на бумажном носителе руководителем экономического субъекта.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C78B3">
        <w:rPr>
          <w:sz w:val="28"/>
          <w:szCs w:val="28"/>
        </w:rPr>
        <w:t>Пунктом 6 Инструкции ЗЗн</w:t>
      </w:r>
      <w:r w:rsidRPr="001C78B3">
        <w:rPr>
          <w:sz w:val="28"/>
          <w:szCs w:val="28"/>
          <w:vertAlign w:val="superscript"/>
        </w:rPr>
        <w:t>13</w:t>
      </w:r>
      <w:r w:rsidRPr="001C78B3">
        <w:rPr>
          <w:sz w:val="28"/>
          <w:szCs w:val="28"/>
        </w:rPr>
        <w:t>, установлено, что бухгалтерская отчетность формируется учреждением в виде электронного документа, подписанного усиленной квалифицированной электронной подписью, с представлением в орган государственной власти, осуществляющий в отношении учреждения функции и полномочия учредителя.</w:t>
      </w:r>
    </w:p>
    <w:p w:rsidR="001C78B3" w:rsidRPr="001C78B3" w:rsidP="001C78B3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C78B3">
        <w:rPr>
          <w:sz w:val="28"/>
          <w:szCs w:val="28"/>
        </w:rPr>
        <w:t xml:space="preserve">Пунктом 12 Инструкции № </w:t>
      </w:r>
      <w:r w:rsidRPr="001C78B3">
        <w:rPr>
          <w:sz w:val="28"/>
          <w:szCs w:val="28"/>
        </w:rPr>
        <w:t>ЗЗн</w:t>
      </w:r>
      <w:r w:rsidRPr="001C78B3">
        <w:rPr>
          <w:sz w:val="28"/>
          <w:szCs w:val="28"/>
        </w:rPr>
        <w:t xml:space="preserve"> определено, что в состав бухгалтерской отчетности включается "Баланс государственного (муниципального) учреждения" (ф. 0503730), в Баланс государственного (муниципального) учреждения (ф. 0503730) раздела "Нефинансовые активы" входят данные по балансовым счетам: "Основные средства" (101); "Нематериальные активы" (102); "Права пользования активами" (111).</w:t>
      </w:r>
    </w:p>
    <w:p w:rsidR="001C78B3" w:rsidP="001C78B3">
      <w:pPr>
        <w:pStyle w:val="6"/>
        <w:shd w:val="clear" w:color="auto" w:fill="auto"/>
        <w:spacing w:line="240" w:lineRule="auto"/>
        <w:ind w:left="20" w:right="20" w:firstLine="700"/>
      </w:pPr>
      <w:r w:rsidRPr="001C78B3">
        <w:rPr>
          <w:sz w:val="28"/>
          <w:szCs w:val="28"/>
        </w:rPr>
        <w:t xml:space="preserve">Баланс государственного (муниципального) учреждения (ф. 0503730) подписан 19.01.2023 директором Учреждения </w:t>
      </w:r>
      <w:r w:rsidR="00B84ED6">
        <w:rPr>
          <w:b/>
          <w:sz w:val="28"/>
          <w:szCs w:val="28"/>
        </w:rPr>
        <w:t>**</w:t>
      </w:r>
      <w:r w:rsidR="00B84ED6">
        <w:rPr>
          <w:b/>
          <w:sz w:val="28"/>
          <w:szCs w:val="28"/>
        </w:rPr>
        <w:t xml:space="preserve">* </w:t>
      </w:r>
      <w:r w:rsidRPr="001C78B3">
        <w:rPr>
          <w:sz w:val="28"/>
          <w:szCs w:val="28"/>
        </w:rPr>
        <w:t xml:space="preserve"> и</w:t>
      </w:r>
      <w:r w:rsidRPr="001C78B3">
        <w:rPr>
          <w:sz w:val="28"/>
          <w:szCs w:val="28"/>
        </w:rPr>
        <w:t xml:space="preserve"> главным бухгалтером Учреждения </w:t>
      </w:r>
      <w:r w:rsidRPr="001C78B3">
        <w:rPr>
          <w:sz w:val="28"/>
          <w:szCs w:val="28"/>
        </w:rPr>
        <w:t>Сабаровой</w:t>
      </w:r>
      <w:r w:rsidRPr="001C78B3">
        <w:rPr>
          <w:sz w:val="28"/>
          <w:szCs w:val="28"/>
        </w:rPr>
        <w:t xml:space="preserve"> </w:t>
      </w:r>
      <w:r w:rsidR="00B84ED6">
        <w:rPr>
          <w:b/>
          <w:sz w:val="28"/>
          <w:szCs w:val="28"/>
        </w:rPr>
        <w:t>***</w:t>
      </w:r>
    </w:p>
    <w:p w:rsidR="00F94D84" w:rsidP="00F94D84">
      <w:pPr>
        <w:shd w:val="clear" w:color="auto" w:fill="FFFFFF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ст. 2.4 КоАП РФ административной ответственности подлежит </w:t>
      </w:r>
      <w:r>
        <w:rPr>
          <w:sz w:val="28"/>
          <w:szCs w:val="28"/>
        </w:rPr>
        <w:t xml:space="preserve">должностное лицо в случае совершения им административного </w:t>
      </w:r>
      <w:r>
        <w:rPr>
          <w:spacing w:val="-1"/>
          <w:sz w:val="28"/>
          <w:szCs w:val="28"/>
        </w:rPr>
        <w:t xml:space="preserve">правонарушения в связи с неисполнением либо ненадлежащим исполнением </w:t>
      </w:r>
      <w:r>
        <w:rPr>
          <w:sz w:val="28"/>
          <w:szCs w:val="28"/>
        </w:rPr>
        <w:t>своих служебных обязанностей.</w:t>
      </w:r>
    </w:p>
    <w:p w:rsidR="002113ED" w:rsidRPr="002113ED" w:rsidP="002113ED">
      <w:pPr>
        <w:pStyle w:val="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2113ED">
        <w:rPr>
          <w:sz w:val="28"/>
          <w:szCs w:val="28"/>
        </w:rPr>
        <w:t>Согласно пунктам 2.16, 5.1, 5.2 должностной инструкции</w:t>
      </w:r>
      <w:r w:rsidRPr="002113ED">
        <w:rPr>
          <w:sz w:val="28"/>
          <w:szCs w:val="28"/>
          <w:vertAlign w:val="superscript"/>
        </w:rPr>
        <w:t>13</w:t>
      </w:r>
      <w:r w:rsidRPr="002113ED">
        <w:rPr>
          <w:sz w:val="28"/>
          <w:szCs w:val="28"/>
        </w:rPr>
        <w:t xml:space="preserve"> главный бухгалтер: обеспечивает подготовку необходимой бухгалтерской и статистической отчетности, представление их в установленном порядке в соответствующие органы (2.16); несет ответственность: 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 (5.1);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 (5.2).</w:t>
      </w:r>
    </w:p>
    <w:p w:rsidR="002113ED" w:rsidRPr="002113ED" w:rsidP="002113ED">
      <w:pPr>
        <w:shd w:val="clear" w:color="auto" w:fill="FFFFFF"/>
        <w:ind w:right="57" w:firstLine="709"/>
        <w:jc w:val="both"/>
        <w:rPr>
          <w:sz w:val="28"/>
          <w:szCs w:val="28"/>
        </w:rPr>
      </w:pPr>
      <w:r w:rsidRPr="002113ED">
        <w:rPr>
          <w:sz w:val="28"/>
          <w:szCs w:val="28"/>
        </w:rPr>
        <w:t xml:space="preserve">В соответствии с приказом Учреждения от 25.06.2004 № 11 "О приеме работника на работу" должность главного бухгалтера Учреждения с 25.06.2004 занимает </w:t>
      </w:r>
      <w:r w:rsidRPr="002113ED">
        <w:rPr>
          <w:sz w:val="28"/>
          <w:szCs w:val="28"/>
        </w:rPr>
        <w:t>Сабарова</w:t>
      </w:r>
      <w:r w:rsidRPr="002113ED">
        <w:rPr>
          <w:sz w:val="28"/>
          <w:szCs w:val="28"/>
        </w:rPr>
        <w:t xml:space="preserve"> </w:t>
      </w:r>
      <w:r w:rsidR="00B84ED6">
        <w:rPr>
          <w:b/>
          <w:sz w:val="28"/>
          <w:szCs w:val="28"/>
        </w:rPr>
        <w:t xml:space="preserve">*** </w:t>
      </w:r>
      <w:r w:rsidRPr="002113ED">
        <w:rPr>
          <w:sz w:val="28"/>
          <w:szCs w:val="28"/>
        </w:rPr>
        <w:t>с должностной инструкцией ознакомлена 01.06.2017</w:t>
      </w:r>
      <w:r>
        <w:rPr>
          <w:sz w:val="28"/>
          <w:szCs w:val="28"/>
        </w:rPr>
        <w:t>.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суд приходит к выводу, что </w:t>
      </w:r>
      <w:r w:rsidR="002113ED">
        <w:rPr>
          <w:sz w:val="28"/>
          <w:szCs w:val="28"/>
        </w:rPr>
        <w:t xml:space="preserve">главным </w:t>
      </w:r>
      <w:r w:rsidR="00B84ED6">
        <w:rPr>
          <w:b/>
          <w:sz w:val="28"/>
          <w:szCs w:val="28"/>
        </w:rPr>
        <w:t xml:space="preserve">*** </w:t>
      </w:r>
      <w:r w:rsidR="002113ED">
        <w:rPr>
          <w:sz w:val="28"/>
          <w:szCs w:val="28"/>
        </w:rPr>
        <w:t>Сабаровой</w:t>
      </w:r>
      <w:r w:rsidR="002113ED">
        <w:rPr>
          <w:sz w:val="28"/>
          <w:szCs w:val="28"/>
        </w:rPr>
        <w:t xml:space="preserve">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правонарушение</w:t>
      </w:r>
      <w:r>
        <w:rPr>
          <w:sz w:val="28"/>
          <w:szCs w:val="28"/>
        </w:rPr>
        <w:t xml:space="preserve"> предусмотренное ч.4 ст. 15.15.6 КоАП РФ, то есть </w:t>
      </w:r>
      <w:r>
        <w:rPr>
          <w:color w:val="000000"/>
          <w:sz w:val="28"/>
          <w:szCs w:val="28"/>
        </w:rPr>
        <w:t xml:space="preserve"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выраженное в искажении показателей бухгалтерской (финансовой) отчетности </w:t>
      </w:r>
      <w:r w:rsidR="002113ED">
        <w:rPr>
          <w:color w:val="000000"/>
          <w:sz w:val="28"/>
          <w:szCs w:val="28"/>
        </w:rPr>
        <w:t>которое привело к искажению информации об активах</w:t>
      </w:r>
      <w:r>
        <w:rPr>
          <w:color w:val="000000"/>
          <w:sz w:val="28"/>
          <w:szCs w:val="28"/>
        </w:rPr>
        <w:t xml:space="preserve"> более чем на 10 процентов</w:t>
      </w:r>
      <w:r>
        <w:rPr>
          <w:sz w:val="28"/>
          <w:szCs w:val="28"/>
        </w:rPr>
        <w:t xml:space="preserve">. 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Виновность </w:t>
      </w:r>
      <w:r>
        <w:rPr>
          <w:sz w:val="28"/>
          <w:szCs w:val="28"/>
        </w:rPr>
        <w:t>Сабаровой</w:t>
      </w:r>
      <w:r>
        <w:rPr>
          <w:sz w:val="28"/>
          <w:szCs w:val="28"/>
        </w:rPr>
        <w:t xml:space="preserve"> И.Э. в совершении правонарушения подтверждается исследованными судом: </w:t>
      </w:r>
    </w:p>
    <w:p w:rsidR="00F94D84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правонарушении; </w:t>
      </w:r>
    </w:p>
    <w:p w:rsidR="00F94D84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3ED">
        <w:rPr>
          <w:sz w:val="28"/>
          <w:szCs w:val="28"/>
        </w:rPr>
        <w:t>копией приказа о проведении контрольного мероприятия,</w:t>
      </w:r>
    </w:p>
    <w:p w:rsidR="002113ED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оборотно</w:t>
      </w:r>
      <w:r>
        <w:rPr>
          <w:sz w:val="28"/>
          <w:szCs w:val="28"/>
        </w:rPr>
        <w:t>-сальдовыми ведомостями</w:t>
      </w:r>
    </w:p>
    <w:p w:rsidR="002113ED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копиями распоряжений приложением</w:t>
      </w:r>
    </w:p>
    <w:p w:rsidR="002113ED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баланс государственного (муниципального) учреждения</w:t>
      </w:r>
    </w:p>
    <w:p w:rsidR="002113ED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приказа, копией трудового договора, копий должностной инструкции, карточкой образцов подписей</w:t>
      </w:r>
    </w:p>
    <w:p w:rsidR="002113ED" w:rsidP="00F94D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акта</w:t>
      </w:r>
    </w:p>
    <w:p w:rsidR="00F94D84" w:rsidP="00F9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ЕГРЮЛ.</w:t>
      </w:r>
    </w:p>
    <w:p w:rsidR="00F94D84" w:rsidP="00F9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94D84" w:rsidP="00F9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94D84" w:rsidP="00F9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Статьей 2.2</w:t>
        </w:r>
      </w:hyperlink>
      <w:r>
        <w:rPr>
          <w:sz w:val="28"/>
          <w:szCs w:val="28"/>
        </w:rPr>
        <w:t xml:space="preserve"> КоАП РФ установлено, что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часть 1</w:t>
        </w:r>
      </w:hyperlink>
      <w:r>
        <w:rPr>
          <w:sz w:val="28"/>
          <w:szCs w:val="28"/>
        </w:rPr>
        <w:t>);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 (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часть 2</w:t>
        </w:r>
      </w:hyperlink>
      <w:r>
        <w:rPr>
          <w:sz w:val="28"/>
          <w:szCs w:val="28"/>
        </w:rPr>
        <w:t>).</w:t>
      </w:r>
    </w:p>
    <w:p w:rsidR="00F94D84" w:rsidP="00F9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</w:t>
      </w:r>
      <w:r>
        <w:rPr>
          <w:sz w:val="28"/>
          <w:szCs w:val="28"/>
        </w:rPr>
        <w:t>Сабарова</w:t>
      </w:r>
      <w:r>
        <w:rPr>
          <w:sz w:val="28"/>
          <w:szCs w:val="28"/>
        </w:rPr>
        <w:t xml:space="preserve"> И.Э., имела возможность для соблюдения требований законодательства, однако не приняла все зависящие от нее меры по его соблюдению.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Сабаровой</w:t>
      </w:r>
      <w:r>
        <w:rPr>
          <w:sz w:val="28"/>
          <w:szCs w:val="28"/>
        </w:rPr>
        <w:t xml:space="preserve"> И.Э. и ее действия по факту </w:t>
      </w:r>
      <w:r>
        <w:rPr>
          <w:color w:val="000000"/>
          <w:sz w:val="28"/>
          <w:szCs w:val="28"/>
        </w:rPr>
        <w:t>грубого нарушения требований к бюджетному (бухгалтерскому) учету, в том числе к составлению либо представлению бюджетной или бухгалтерской (финансовой) отчетности, выраженное в искажении показателей бухгалтерской (финансовой) отчетности в денежном измерении, более чем на 10 процентов</w:t>
      </w:r>
      <w:r>
        <w:rPr>
          <w:sz w:val="28"/>
          <w:szCs w:val="28"/>
        </w:rPr>
        <w:t xml:space="preserve">, нашли свое подтверждение. 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Сабаровой</w:t>
      </w:r>
      <w:r>
        <w:rPr>
          <w:sz w:val="28"/>
          <w:szCs w:val="28"/>
        </w:rPr>
        <w:t xml:space="preserve"> И</w:t>
      </w:r>
      <w:r w:rsidR="00D53A7F">
        <w:rPr>
          <w:sz w:val="28"/>
          <w:szCs w:val="28"/>
        </w:rPr>
        <w:t>.Э. мировой судья квалифицирует</w:t>
      </w:r>
      <w:r>
        <w:rPr>
          <w:sz w:val="28"/>
          <w:szCs w:val="28"/>
        </w:rPr>
        <w:t xml:space="preserve"> по ч.4 ст.15.15.6 КоАП РФ.</w:t>
      </w:r>
    </w:p>
    <w:p w:rsidR="00F94D84" w:rsidP="00F94D8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94D84" w:rsidP="00F9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последствия, отсутствие сведений о привлечении должностного лица к административной ответственности ранее, и считает необходимым назначить наказание в виде минимального штрафа, предусмотренного санкцией статьи, направленного на достижение целей, предусмотренных ч.1 ст.3.1 КоАП РФ.</w:t>
      </w:r>
    </w:p>
    <w:p w:rsidR="00F94D84" w:rsidP="00F94D8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Руководствуясь ст.ст.29.9, 29.10 КоАП РФ, мировой судья</w:t>
      </w:r>
    </w:p>
    <w:p w:rsidR="00F94D84" w:rsidP="00F94D84">
      <w:pPr>
        <w:jc w:val="center"/>
        <w:rPr>
          <w:snapToGrid w:val="0"/>
          <w:sz w:val="28"/>
          <w:szCs w:val="28"/>
        </w:rPr>
      </w:pPr>
    </w:p>
    <w:p w:rsidR="00D20A12" w:rsidP="00F94D84">
      <w:pPr>
        <w:jc w:val="center"/>
        <w:rPr>
          <w:snapToGrid w:val="0"/>
          <w:sz w:val="28"/>
          <w:szCs w:val="28"/>
        </w:rPr>
      </w:pPr>
    </w:p>
    <w:p w:rsidR="00D20A12" w:rsidP="00F94D84">
      <w:pPr>
        <w:jc w:val="center"/>
        <w:rPr>
          <w:snapToGrid w:val="0"/>
          <w:sz w:val="28"/>
          <w:szCs w:val="28"/>
        </w:rPr>
      </w:pPr>
    </w:p>
    <w:p w:rsidR="00D20A12" w:rsidP="00F94D84">
      <w:pPr>
        <w:jc w:val="center"/>
        <w:rPr>
          <w:snapToGrid w:val="0"/>
          <w:sz w:val="28"/>
          <w:szCs w:val="28"/>
        </w:rPr>
      </w:pPr>
    </w:p>
    <w:p w:rsidR="00F94D84" w:rsidP="00F94D8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ПОСТАНОВИЛ:</w:t>
      </w:r>
    </w:p>
    <w:p w:rsidR="00F94D84" w:rsidP="00F94D84">
      <w:pPr>
        <w:jc w:val="center"/>
        <w:rPr>
          <w:snapToGrid w:val="0"/>
          <w:sz w:val="28"/>
          <w:szCs w:val="28"/>
        </w:rPr>
      </w:pPr>
    </w:p>
    <w:p w:rsidR="00F94D84" w:rsidP="00F94D84">
      <w:pPr>
        <w:pStyle w:val="BodyText2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Признать должностное лицо –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Сабарову</w:t>
      </w:r>
      <w:r>
        <w:rPr>
          <w:sz w:val="28"/>
          <w:szCs w:val="28"/>
        </w:rPr>
        <w:t xml:space="preserve"> </w:t>
      </w:r>
      <w:r w:rsidR="00B84ED6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виновной в совершении административного правонарушения, предусмотренного ч.4 ст. 15.15.6 КоАП РФ, и назначить наказание в виде административного штрафа в размере 15 000 рублей.</w:t>
      </w:r>
    </w:p>
    <w:p w:rsidR="00F94D84" w:rsidP="00F94D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наложении </w:t>
      </w:r>
      <w:r>
        <w:rPr>
          <w:sz w:val="28"/>
          <w:szCs w:val="28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F94D84" w:rsidP="00F94D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 xml:space="preserve">. </w:t>
      </w:r>
    </w:p>
    <w:p w:rsidR="00F94D84" w:rsidP="00F94D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Ханты-Мансийский </w:t>
      </w:r>
      <w:r>
        <w:rPr>
          <w:sz w:val="28"/>
          <w:szCs w:val="28"/>
        </w:rPr>
        <w:t>районный  суд</w:t>
      </w:r>
      <w:r>
        <w:rPr>
          <w:sz w:val="28"/>
          <w:szCs w:val="28"/>
        </w:rPr>
        <w:t xml:space="preserve"> через мирового судью в течение 10 суток со дня получения копии постановления.</w:t>
      </w:r>
    </w:p>
    <w:p w:rsidR="00F94D84" w:rsidP="00F94D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Административный штраф подлежит уплате на расчетный счет: 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rStyle w:val="1"/>
          <w:sz w:val="28"/>
          <w:szCs w:val="28"/>
        </w:rPr>
        <w:t>Банк получателя</w:t>
      </w:r>
      <w:r>
        <w:rPr>
          <w:color w:val="000000"/>
          <w:sz w:val="28"/>
          <w:szCs w:val="28"/>
          <w:lang w:bidi="ru-RU"/>
        </w:rPr>
        <w:t>: Счетная палата Ханты-Мансийского автономного округа – Югры ИНН 8601044416 КПП 860101001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БИК 007162163 ОКТМО 71871000 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rStyle w:val="1"/>
          <w:sz w:val="28"/>
          <w:szCs w:val="28"/>
        </w:rPr>
        <w:t>(номер казначейского счета) -</w:t>
      </w:r>
      <w:r>
        <w:rPr>
          <w:color w:val="000000"/>
          <w:sz w:val="28"/>
          <w:szCs w:val="28"/>
          <w:lang w:bidi="ru-RU"/>
        </w:rPr>
        <w:t xml:space="preserve"> 40102810245370000007 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р/</w:t>
      </w:r>
      <w:r>
        <w:rPr>
          <w:color w:val="000000"/>
          <w:sz w:val="28"/>
          <w:szCs w:val="28"/>
          <w:lang w:bidi="ru-RU"/>
        </w:rPr>
        <w:t>сч</w:t>
      </w:r>
      <w:r>
        <w:rPr>
          <w:color w:val="000000"/>
          <w:sz w:val="28"/>
          <w:szCs w:val="28"/>
          <w:lang w:bidi="ru-RU"/>
        </w:rPr>
        <w:t xml:space="preserve"> 03100643000000018700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КБК: 30011601242010000140</w:t>
      </w:r>
    </w:p>
    <w:p w:rsidR="00F94D84" w:rsidP="00F94D84">
      <w:pPr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Банк РКЦ Ханты-Мансийск//УФК по Ханты-Мансийскому автономному округу – Югре город Ханты-Мансийск </w:t>
      </w:r>
    </w:p>
    <w:p w:rsidR="00F94D84" w:rsidP="00F94D84">
      <w:pPr>
        <w:ind w:left="20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УИН 0320540800000000010244802</w:t>
      </w:r>
    </w:p>
    <w:p w:rsidR="00F94D84" w:rsidP="00F94D84">
      <w:pPr>
        <w:pStyle w:val="BodyText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94D84" w:rsidP="00F94D84">
      <w:pPr>
        <w:pStyle w:val="BodyText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F94D84" w:rsidP="00F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94D84" w:rsidP="00F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F94D84" w:rsidP="00F94D84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F94D84" w:rsidP="00F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</w:t>
      </w:r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Новокшенова  </w:t>
      </w:r>
    </w:p>
    <w:p w:rsidR="00F94D84" w:rsidP="00F94D84">
      <w:pPr>
        <w:rPr>
          <w:sz w:val="28"/>
          <w:szCs w:val="28"/>
        </w:rPr>
      </w:pPr>
    </w:p>
    <w:p w:rsidR="00F94D84" w:rsidP="00F94D84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94D84" w:rsidP="00F94D84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Новокшенова</w:t>
      </w:r>
    </w:p>
    <w:p w:rsidR="007A10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A3EC2"/>
    <w:multiLevelType w:val="multilevel"/>
    <w:tmpl w:val="B9C695A4"/>
    <w:lvl w:ilvl="0">
      <w:start w:val="28"/>
      <w:numFmt w:val="decimal"/>
      <w:lvlText w:val="1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DF77A1F"/>
    <w:multiLevelType w:val="hybridMultilevel"/>
    <w:tmpl w:val="3C8AE85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5D6048"/>
    <w:multiLevelType w:val="multilevel"/>
    <w:tmpl w:val="EC401402"/>
    <w:lvl w:ilvl="0">
      <w:start w:val="28"/>
      <w:numFmt w:val="decimal"/>
      <w:lvlText w:val="1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6BAE5221"/>
    <w:multiLevelType w:val="multilevel"/>
    <w:tmpl w:val="209EA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4"/>
    <w:rsid w:val="001C78B3"/>
    <w:rsid w:val="002113ED"/>
    <w:rsid w:val="002D3A14"/>
    <w:rsid w:val="007A1070"/>
    <w:rsid w:val="00B84ED6"/>
    <w:rsid w:val="00D20A12"/>
    <w:rsid w:val="00D53A7F"/>
    <w:rsid w:val="00F94D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3791F8-7274-4241-A825-1F3E906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4D84"/>
    <w:rPr>
      <w:color w:val="0000FF"/>
      <w:u w:val="single"/>
    </w:rPr>
  </w:style>
  <w:style w:type="paragraph" w:styleId="FootnoteText">
    <w:name w:val="footnote text"/>
    <w:basedOn w:val="Normal"/>
    <w:link w:val="a"/>
    <w:uiPriority w:val="99"/>
    <w:semiHidden/>
    <w:unhideWhenUsed/>
    <w:rsid w:val="00F94D84"/>
    <w:rPr>
      <w:rFonts w:ascii="Calibri" w:hAnsi="Calibri"/>
      <w:sz w:val="20"/>
      <w:szCs w:val="20"/>
      <w:lang w:eastAsia="en-US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F94D84"/>
    <w:rPr>
      <w:rFonts w:ascii="Calibri" w:eastAsia="Times New Roman" w:hAnsi="Calibri" w:cs="Times New Roman"/>
      <w:sz w:val="20"/>
      <w:szCs w:val="20"/>
    </w:r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9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F94D8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9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94D84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link w:val="a2"/>
    <w:uiPriority w:val="99"/>
    <w:semiHidden/>
    <w:unhideWhenUsed/>
    <w:rsid w:val="00F94D84"/>
    <w:pPr>
      <w:jc w:val="both"/>
    </w:pPr>
    <w:rPr>
      <w:sz w:val="26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F94D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9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94D84"/>
    <w:pPr>
      <w:ind w:firstLine="567"/>
      <w:jc w:val="both"/>
    </w:pPr>
  </w:style>
  <w:style w:type="paragraph" w:styleId="BodyText2">
    <w:name w:val="Body Text 2"/>
    <w:basedOn w:val="Normal"/>
    <w:link w:val="2"/>
    <w:uiPriority w:val="99"/>
    <w:semiHidden/>
    <w:unhideWhenUsed/>
    <w:rsid w:val="00F94D8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94D8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F9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uiPriority w:val="99"/>
    <w:semiHidden/>
    <w:unhideWhenUsed/>
    <w:rsid w:val="00F94D84"/>
    <w:pPr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F9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F94D84"/>
    <w:pPr>
      <w:ind w:firstLine="720"/>
      <w:jc w:val="both"/>
    </w:p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4D84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F94D84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Normal"/>
    <w:next w:val="Normal"/>
    <w:uiPriority w:val="99"/>
    <w:rsid w:val="00F94D84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Normal"/>
    <w:next w:val="Normal"/>
    <w:uiPriority w:val="99"/>
    <w:rsid w:val="00F94D84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F94D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Normal"/>
    <w:uiPriority w:val="99"/>
    <w:rsid w:val="00F94D84"/>
    <w:pPr>
      <w:spacing w:after="150"/>
    </w:pPr>
  </w:style>
  <w:style w:type="character" w:customStyle="1" w:styleId="a8">
    <w:name w:val="Основной текст_"/>
    <w:link w:val="30"/>
    <w:locked/>
    <w:rsid w:val="00F94D8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8"/>
    <w:rsid w:val="00F94D8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1">
    <w:name w:val="s_1"/>
    <w:basedOn w:val="Normal"/>
    <w:uiPriority w:val="99"/>
    <w:rsid w:val="00F94D84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F94D84"/>
    <w:rPr>
      <w:b/>
      <w:bCs/>
      <w:color w:val="000080"/>
      <w:szCs w:val="20"/>
    </w:rPr>
  </w:style>
  <w:style w:type="character" w:customStyle="1" w:styleId="a10">
    <w:name w:val="Гипертекстовая ссылка"/>
    <w:uiPriority w:val="99"/>
    <w:rsid w:val="00F94D84"/>
    <w:rPr>
      <w:b/>
      <w:bCs/>
      <w:color w:val="008000"/>
      <w:szCs w:val="20"/>
      <w:u w:val="single"/>
    </w:rPr>
  </w:style>
  <w:style w:type="character" w:customStyle="1" w:styleId="cnsl">
    <w:name w:val="cnsl"/>
    <w:rsid w:val="00F94D84"/>
  </w:style>
  <w:style w:type="character" w:customStyle="1" w:styleId="21">
    <w:name w:val="Основной текст2"/>
    <w:rsid w:val="00F94D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rsid w:val="00F94D8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11">
    <w:name w:val="Колонтитул_"/>
    <w:rsid w:val="00F94D84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12">
    <w:name w:val="Колонтитул"/>
    <w:rsid w:val="00F94D84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6">
    <w:name w:val="Основной текст6"/>
    <w:basedOn w:val="Normal"/>
    <w:rsid w:val="001C78B3"/>
    <w:pPr>
      <w:widowControl w:val="0"/>
      <w:shd w:val="clear" w:color="auto" w:fill="FFFFFF"/>
      <w:spacing w:line="312" w:lineRule="exact"/>
      <w:jc w:val="both"/>
    </w:pPr>
    <w:rPr>
      <w:color w:val="000000"/>
      <w:spacing w:val="10"/>
      <w:sz w:val="22"/>
      <w:szCs w:val="22"/>
      <w:lang w:bidi="ru-RU"/>
    </w:rPr>
  </w:style>
  <w:style w:type="character" w:customStyle="1" w:styleId="0pt">
    <w:name w:val="Основной текст + Полужирный;Интервал 0 pt"/>
    <w:basedOn w:val="a8"/>
    <w:rsid w:val="001C7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1C7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1C7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6199.3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25267.22/" TargetMode="External" /><Relationship Id="rId7" Type="http://schemas.openxmlformats.org/officeDocument/2006/relationships/hyperlink" Target="garantf1://12025267.2201/" TargetMode="External" /><Relationship Id="rId8" Type="http://schemas.openxmlformats.org/officeDocument/2006/relationships/hyperlink" Target="garantf1://12025267.2202/" TargetMode="External" /><Relationship Id="rId9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